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2"/>
        <w:gridCol w:w="4395"/>
      </w:tblGrid>
      <w:tr w:rsidR="003B7DFD" w:rsidRPr="00AD319D" w14:paraId="48019675" w14:textId="77777777" w:rsidTr="003B7DFD">
        <w:tc>
          <w:tcPr>
            <w:tcW w:w="1129" w:type="dxa"/>
          </w:tcPr>
          <w:p w14:paraId="263FED12" w14:textId="70BF1577" w:rsidR="003B7DFD" w:rsidRPr="00AD319D" w:rsidRDefault="00007E8B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>Virksomhet</w:t>
            </w:r>
          </w:p>
        </w:tc>
        <w:tc>
          <w:tcPr>
            <w:tcW w:w="4395" w:type="dxa"/>
          </w:tcPr>
          <w:p w14:paraId="7D768CB9" w14:textId="77777777" w:rsidR="003B7DFD" w:rsidRPr="00AD319D" w:rsidRDefault="003B7DFD">
            <w:pPr>
              <w:rPr>
                <w:sz w:val="24"/>
                <w:szCs w:val="24"/>
              </w:rPr>
            </w:pPr>
          </w:p>
        </w:tc>
      </w:tr>
      <w:tr w:rsidR="003B7DFD" w:rsidRPr="00AD319D" w14:paraId="28ECFB62" w14:textId="77777777" w:rsidTr="003B7DFD">
        <w:tc>
          <w:tcPr>
            <w:tcW w:w="1129" w:type="dxa"/>
          </w:tcPr>
          <w:p w14:paraId="7FF5ED14" w14:textId="37E7EFD9" w:rsidR="003B7DFD" w:rsidRPr="00AD319D" w:rsidRDefault="003B7DFD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>Utfylt av</w:t>
            </w:r>
          </w:p>
        </w:tc>
        <w:tc>
          <w:tcPr>
            <w:tcW w:w="4395" w:type="dxa"/>
          </w:tcPr>
          <w:p w14:paraId="18950BA8" w14:textId="77777777" w:rsidR="003B7DFD" w:rsidRPr="00AD319D" w:rsidRDefault="003B7DFD">
            <w:pPr>
              <w:rPr>
                <w:sz w:val="24"/>
                <w:szCs w:val="24"/>
              </w:rPr>
            </w:pPr>
          </w:p>
        </w:tc>
      </w:tr>
      <w:tr w:rsidR="003B7DFD" w:rsidRPr="00AD319D" w14:paraId="4C75B491" w14:textId="77777777" w:rsidTr="003B7DFD">
        <w:tc>
          <w:tcPr>
            <w:tcW w:w="1129" w:type="dxa"/>
          </w:tcPr>
          <w:p w14:paraId="26749FCB" w14:textId="5F14268F" w:rsidR="003B7DFD" w:rsidRPr="00AD319D" w:rsidRDefault="003B7DFD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>Dato</w:t>
            </w:r>
          </w:p>
        </w:tc>
        <w:tc>
          <w:tcPr>
            <w:tcW w:w="4395" w:type="dxa"/>
          </w:tcPr>
          <w:p w14:paraId="6322E345" w14:textId="77777777" w:rsidR="003B7DFD" w:rsidRPr="00AD319D" w:rsidRDefault="003B7DFD">
            <w:pPr>
              <w:rPr>
                <w:sz w:val="24"/>
                <w:szCs w:val="24"/>
              </w:rPr>
            </w:pPr>
          </w:p>
        </w:tc>
      </w:tr>
      <w:tr w:rsidR="00C37A82" w:rsidRPr="00AD319D" w14:paraId="18740CB9" w14:textId="77777777" w:rsidTr="003B7DFD">
        <w:tc>
          <w:tcPr>
            <w:tcW w:w="1129" w:type="dxa"/>
          </w:tcPr>
          <w:p w14:paraId="6849CBAF" w14:textId="4A185D88" w:rsidR="00C37A82" w:rsidRPr="00AD319D" w:rsidRDefault="00C37A82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>Rapporteringsperiode</w:t>
            </w:r>
          </w:p>
        </w:tc>
        <w:tc>
          <w:tcPr>
            <w:tcW w:w="4395" w:type="dxa"/>
          </w:tcPr>
          <w:p w14:paraId="7217DC87" w14:textId="202B7FB8" w:rsidR="00C37A82" w:rsidRPr="00AD319D" w:rsidRDefault="00C37A82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>1.7.2022 – 31.12.2022</w:t>
            </w:r>
          </w:p>
        </w:tc>
      </w:tr>
    </w:tbl>
    <w:p w14:paraId="645618EE" w14:textId="77777777" w:rsidR="00446AA2" w:rsidRDefault="00446AA2" w:rsidP="006E39C9">
      <w:pPr>
        <w:spacing w:after="0"/>
        <w:rPr>
          <w:sz w:val="24"/>
          <w:szCs w:val="24"/>
        </w:rPr>
      </w:pPr>
    </w:p>
    <w:p w14:paraId="318BE91A" w14:textId="405A6AA8" w:rsidR="00446AA2" w:rsidRPr="00AD319D" w:rsidRDefault="00446AA2" w:rsidP="006E39C9">
      <w:pPr>
        <w:spacing w:after="0"/>
        <w:rPr>
          <w:sz w:val="24"/>
          <w:szCs w:val="24"/>
        </w:rPr>
      </w:pPr>
      <w:r w:rsidRPr="00446AA2">
        <w:rPr>
          <w:sz w:val="24"/>
          <w:szCs w:val="24"/>
          <w:highlight w:val="yellow"/>
        </w:rPr>
        <w:t>*** TEKST NEDENFOR MÅ ENDRES/TILPASSES DEN ENKELTE VIRKSOMHET OG GULMARKERING FJERNES***</w:t>
      </w:r>
    </w:p>
    <w:p w14:paraId="7DE2FD94" w14:textId="04CEFC8C" w:rsidR="00D22E55" w:rsidRPr="00AD319D" w:rsidRDefault="00446AA2" w:rsidP="005532B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Åpenhetsloven § 5a: </w:t>
      </w:r>
      <w:r w:rsidR="00A543DB" w:rsidRPr="00AD319D">
        <w:rPr>
          <w:rFonts w:cstheme="minorHAnsi"/>
          <w:b/>
          <w:sz w:val="24"/>
          <w:szCs w:val="24"/>
        </w:rPr>
        <w:t>Generell b</w:t>
      </w:r>
      <w:r w:rsidR="005532B7" w:rsidRPr="00AD319D">
        <w:rPr>
          <w:rFonts w:cstheme="minorHAnsi"/>
          <w:b/>
          <w:sz w:val="24"/>
          <w:szCs w:val="24"/>
        </w:rPr>
        <w:t>eskrivelse av virksomhetens organisering, driftsområde, retningslinjer og rutiner</w:t>
      </w:r>
      <w:r w:rsidR="00F60E49" w:rsidRPr="00AD319D">
        <w:rPr>
          <w:rFonts w:cstheme="minorHAnsi"/>
          <w:b/>
          <w:sz w:val="24"/>
          <w:szCs w:val="24"/>
        </w:rPr>
        <w:t xml:space="preserve"> </w:t>
      </w:r>
      <w:r w:rsidR="00F60E49" w:rsidRPr="00AD319D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for å håndtere faktiske og </w:t>
      </w:r>
      <w:proofErr w:type="gramStart"/>
      <w:r w:rsidR="00F60E49" w:rsidRPr="00AD319D">
        <w:rPr>
          <w:rFonts w:cstheme="minorHAnsi"/>
          <w:b/>
          <w:color w:val="333333"/>
          <w:sz w:val="24"/>
          <w:szCs w:val="24"/>
          <w:shd w:val="clear" w:color="auto" w:fill="FFFFFF"/>
        </w:rPr>
        <w:t>potensielle</w:t>
      </w:r>
      <w:proofErr w:type="gramEnd"/>
      <w:r w:rsidR="00F60E49" w:rsidRPr="00AD319D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negative konsekvenser for grunnleggende menneskerettigheter og anstendige arbeidsforhold</w:t>
      </w:r>
      <w:r w:rsidR="005532B7" w:rsidRPr="00AD319D">
        <w:rPr>
          <w:rFonts w:cstheme="minorHAnsi"/>
          <w:b/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532B7" w:rsidRPr="00AD319D" w14:paraId="1B64FB4B" w14:textId="77777777">
        <w:trPr>
          <w:trHeight w:val="1064"/>
        </w:trPr>
        <w:tc>
          <w:tcPr>
            <w:tcW w:w="9493" w:type="dxa"/>
          </w:tcPr>
          <w:p w14:paraId="13BC9C20" w14:textId="77777777" w:rsidR="00AA7B78" w:rsidRPr="00AD319D" w:rsidRDefault="00AA7B7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AD319D">
              <w:rPr>
                <w:rFonts w:cstheme="minorHAnsi"/>
                <w:b/>
                <w:bCs/>
                <w:sz w:val="24"/>
                <w:szCs w:val="24"/>
              </w:rPr>
              <w:t>Organisering</w:t>
            </w:r>
          </w:p>
          <w:p w14:paraId="462561AD" w14:textId="2F4914F3" w:rsidR="005532B7" w:rsidRPr="00AD319D" w:rsidRDefault="00A543D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 xml:space="preserve">Vår virksomhet er organisert som </w:t>
            </w:r>
            <w:r w:rsidR="009B31FE" w:rsidRPr="00AD319D">
              <w:rPr>
                <w:rFonts w:cstheme="minorHAnsi"/>
                <w:sz w:val="24"/>
                <w:szCs w:val="24"/>
                <w:highlight w:val="yellow"/>
              </w:rPr>
              <w:t>et aksjeselskap</w:t>
            </w:r>
            <w:r w:rsidR="009B31FE" w:rsidRPr="00AD319D">
              <w:rPr>
                <w:rFonts w:cstheme="minorHAnsi"/>
                <w:sz w:val="24"/>
                <w:szCs w:val="24"/>
              </w:rPr>
              <w:t xml:space="preserve"> med </w:t>
            </w:r>
            <w:r w:rsidR="008940D8" w:rsidRPr="00AD319D">
              <w:rPr>
                <w:rFonts w:cstheme="minorHAnsi"/>
                <w:sz w:val="24"/>
                <w:szCs w:val="24"/>
              </w:rPr>
              <w:t xml:space="preserve">forretningsadresse i </w:t>
            </w:r>
            <w:r w:rsidR="008940D8" w:rsidRPr="00AD319D">
              <w:rPr>
                <w:rFonts w:cstheme="minorHAnsi"/>
                <w:sz w:val="24"/>
                <w:szCs w:val="24"/>
                <w:highlight w:val="yellow"/>
              </w:rPr>
              <w:t xml:space="preserve">XXX og </w:t>
            </w:r>
            <w:r w:rsidR="009B31FE" w:rsidRPr="00AD319D">
              <w:rPr>
                <w:rFonts w:cstheme="minorHAnsi"/>
                <w:sz w:val="24"/>
                <w:szCs w:val="24"/>
                <w:highlight w:val="yellow"/>
              </w:rPr>
              <w:t>avdelinger i XX</w:t>
            </w:r>
            <w:r w:rsidR="00FA263F" w:rsidRPr="00AD319D">
              <w:rPr>
                <w:rFonts w:cstheme="minorHAnsi"/>
                <w:sz w:val="24"/>
                <w:szCs w:val="24"/>
                <w:highlight w:val="yellow"/>
              </w:rPr>
              <w:t>X.</w:t>
            </w:r>
            <w:r w:rsidR="009B31FE" w:rsidRPr="00AD319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B56B7F" w14:textId="77777777" w:rsidR="00E951B5" w:rsidRPr="00AD319D" w:rsidRDefault="00E951B5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B908CA5" w14:textId="648DCEF2" w:rsidR="00E951B5" w:rsidRPr="00AD319D" w:rsidRDefault="00E951B5" w:rsidP="00E951B5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  <w:highlight w:val="yellow"/>
              </w:rPr>
              <w:t>Vår virksomhet er del av det organiserte arbeidslivet og er tilsluttet Næringslivets Hovedorganisasjon (NHO), Byggenæringens Landsforening (BNL) og Entreprenørforeningen – Bygg og Anlegg (EBA) (stryk det som ikke passer).</w:t>
            </w:r>
          </w:p>
          <w:p w14:paraId="654F3300" w14:textId="77777777" w:rsidR="00AA7B78" w:rsidRPr="00AD319D" w:rsidRDefault="00AA7B7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AD319D">
              <w:rPr>
                <w:rFonts w:cstheme="minorHAnsi"/>
                <w:b/>
                <w:bCs/>
                <w:sz w:val="24"/>
                <w:szCs w:val="24"/>
              </w:rPr>
              <w:t>Driftsområde</w:t>
            </w:r>
          </w:p>
          <w:p w14:paraId="309EC850" w14:textId="711C683B" w:rsidR="00A543DB" w:rsidRPr="00AD319D" w:rsidRDefault="00A543D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 xml:space="preserve">Vårt driftsområde er 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>bygg</w:t>
            </w:r>
            <w:r w:rsidR="009B31FE" w:rsidRPr="00AD319D">
              <w:rPr>
                <w:rFonts w:cstheme="minorHAnsi"/>
                <w:sz w:val="24"/>
                <w:szCs w:val="24"/>
                <w:highlight w:val="yellow"/>
              </w:rPr>
              <w:t xml:space="preserve">- og 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>anleggsarbeid</w:t>
            </w:r>
            <w:r w:rsidR="009B31FE" w:rsidRPr="00AD319D">
              <w:rPr>
                <w:rFonts w:cstheme="minorHAnsi"/>
                <w:sz w:val="24"/>
                <w:szCs w:val="24"/>
              </w:rPr>
              <w:t xml:space="preserve"> hvor vi er </w:t>
            </w:r>
            <w:r w:rsidR="009B31FE" w:rsidRPr="00AD319D">
              <w:rPr>
                <w:rFonts w:cstheme="minorHAnsi"/>
                <w:sz w:val="24"/>
                <w:szCs w:val="24"/>
                <w:highlight w:val="yellow"/>
              </w:rPr>
              <w:t>hoved/totalentreprenør</w:t>
            </w:r>
            <w:r w:rsidR="008940D8" w:rsidRPr="00AD319D">
              <w:rPr>
                <w:rFonts w:cstheme="minorHAnsi"/>
                <w:sz w:val="24"/>
                <w:szCs w:val="24"/>
                <w:highlight w:val="yellow"/>
              </w:rPr>
              <w:t>,</w:t>
            </w:r>
            <w:r w:rsidR="009B31FE" w:rsidRPr="00AD319D">
              <w:rPr>
                <w:rFonts w:cstheme="minorHAnsi"/>
                <w:sz w:val="24"/>
                <w:szCs w:val="24"/>
                <w:highlight w:val="yellow"/>
              </w:rPr>
              <w:t xml:space="preserve"> underentreprenør</w:t>
            </w:r>
            <w:r w:rsidR="008940D8" w:rsidRPr="00AD319D">
              <w:rPr>
                <w:rFonts w:cstheme="minorHAnsi"/>
                <w:sz w:val="24"/>
                <w:szCs w:val="24"/>
                <w:highlight w:val="yellow"/>
              </w:rPr>
              <w:t>, leverandør</w:t>
            </w:r>
            <w:r w:rsidR="00FA263F" w:rsidRPr="00AD319D">
              <w:rPr>
                <w:rFonts w:cstheme="minorHAnsi"/>
                <w:sz w:val="24"/>
                <w:szCs w:val="24"/>
              </w:rPr>
              <w:t xml:space="preserve"> og leverer </w:t>
            </w:r>
            <w:r w:rsidR="00FA263F" w:rsidRPr="00AD319D">
              <w:rPr>
                <w:rFonts w:cstheme="minorHAnsi"/>
                <w:sz w:val="24"/>
                <w:szCs w:val="24"/>
                <w:highlight w:val="yellow"/>
              </w:rPr>
              <w:t>XXX.</w:t>
            </w:r>
            <w:r w:rsidR="00FA263F" w:rsidRPr="00AD319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D7A5B4" w14:textId="10FCD76A" w:rsidR="00E951B5" w:rsidRPr="00AD319D" w:rsidRDefault="00E951B5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EE0BBFF" w14:textId="00AE05FF" w:rsidR="00E951B5" w:rsidRPr="00AD319D" w:rsidRDefault="00E951B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>Driften omfatter/omfatter ikke egenimport av produkter.</w:t>
            </w:r>
          </w:p>
          <w:p w14:paraId="07F9027C" w14:textId="77777777" w:rsidR="00A543DB" w:rsidRPr="00AD319D" w:rsidRDefault="00A543D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3AABA00" w14:textId="566576CC" w:rsidR="00AA7B78" w:rsidRPr="00AD319D" w:rsidRDefault="00AA7B7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AD319D">
              <w:rPr>
                <w:rFonts w:cstheme="minorHAnsi"/>
                <w:b/>
                <w:bCs/>
                <w:sz w:val="24"/>
                <w:szCs w:val="24"/>
              </w:rPr>
              <w:t>Rutiner</w:t>
            </w:r>
            <w:r w:rsidR="00FA263F" w:rsidRPr="00AD319D">
              <w:rPr>
                <w:rFonts w:cstheme="minorHAnsi"/>
                <w:b/>
                <w:bCs/>
                <w:sz w:val="24"/>
                <w:szCs w:val="24"/>
              </w:rPr>
              <w:t xml:space="preserve">/ </w:t>
            </w:r>
            <w:r w:rsidRPr="00AD319D">
              <w:rPr>
                <w:rFonts w:cstheme="minorHAnsi"/>
                <w:b/>
                <w:bCs/>
                <w:sz w:val="24"/>
                <w:szCs w:val="24"/>
              </w:rPr>
              <w:t>retningslinjer</w:t>
            </w:r>
          </w:p>
          <w:p w14:paraId="3FB2C137" w14:textId="5400C26E" w:rsidR="00E951B5" w:rsidRPr="00AD319D" w:rsidRDefault="00E951B5" w:rsidP="00BD17F1">
            <w:pPr>
              <w:rPr>
                <w:sz w:val="24"/>
                <w:szCs w:val="24"/>
              </w:rPr>
            </w:pPr>
            <w:r w:rsidRPr="00AD319D">
              <w:rPr>
                <w:sz w:val="24"/>
                <w:szCs w:val="24"/>
              </w:rPr>
              <w:t xml:space="preserve">Arbeidet med åpenhetsloven er </w:t>
            </w:r>
            <w:r w:rsidR="00393BB9" w:rsidRPr="00AD319D">
              <w:rPr>
                <w:sz w:val="24"/>
                <w:szCs w:val="24"/>
              </w:rPr>
              <w:t xml:space="preserve">koordinert på bransjenivå </w:t>
            </w:r>
            <w:r w:rsidRPr="00AD319D">
              <w:rPr>
                <w:sz w:val="24"/>
                <w:szCs w:val="24"/>
              </w:rPr>
              <w:t xml:space="preserve">og </w:t>
            </w:r>
            <w:r w:rsidRPr="00AD319D">
              <w:rPr>
                <w:sz w:val="24"/>
                <w:szCs w:val="24"/>
                <w:highlight w:val="yellow"/>
              </w:rPr>
              <w:t xml:space="preserve">vi bruker </w:t>
            </w:r>
            <w:proofErr w:type="spellStart"/>
            <w:r w:rsidRPr="00AD319D">
              <w:rPr>
                <w:sz w:val="24"/>
                <w:szCs w:val="24"/>
                <w:highlight w:val="yellow"/>
              </w:rPr>
              <w:t>BNLs</w:t>
            </w:r>
            <w:proofErr w:type="spellEnd"/>
            <w:r w:rsidRPr="00AD319D">
              <w:rPr>
                <w:sz w:val="24"/>
                <w:szCs w:val="24"/>
                <w:highlight w:val="yellow"/>
              </w:rPr>
              <w:t xml:space="preserve"> felles løsninger og maler i </w:t>
            </w:r>
            <w:r w:rsidR="00393BB9" w:rsidRPr="00AD319D">
              <w:rPr>
                <w:sz w:val="24"/>
                <w:szCs w:val="24"/>
                <w:highlight w:val="yellow"/>
              </w:rPr>
              <w:t xml:space="preserve">vårt </w:t>
            </w:r>
            <w:r w:rsidRPr="00AD319D">
              <w:rPr>
                <w:sz w:val="24"/>
                <w:szCs w:val="24"/>
                <w:highlight w:val="yellow"/>
              </w:rPr>
              <w:t xml:space="preserve">arbeid, se </w:t>
            </w:r>
            <w:proofErr w:type="spellStart"/>
            <w:r w:rsidRPr="00AD319D">
              <w:rPr>
                <w:sz w:val="24"/>
                <w:szCs w:val="24"/>
                <w:highlight w:val="yellow"/>
              </w:rPr>
              <w:t>BNLs</w:t>
            </w:r>
            <w:proofErr w:type="spellEnd"/>
            <w:r w:rsidRPr="00AD319D">
              <w:rPr>
                <w:sz w:val="24"/>
                <w:szCs w:val="24"/>
                <w:highlight w:val="yellow"/>
              </w:rPr>
              <w:t xml:space="preserve"> hjemmeside om åpenhetsloven</w:t>
            </w:r>
            <w:r w:rsidR="00393BB9" w:rsidRPr="00AD319D">
              <w:rPr>
                <w:sz w:val="24"/>
                <w:szCs w:val="24"/>
                <w:highlight w:val="yellow"/>
              </w:rPr>
              <w:t>.</w:t>
            </w:r>
          </w:p>
          <w:p w14:paraId="36741E92" w14:textId="1EC5E19E" w:rsidR="00393BB9" w:rsidRPr="00AD319D" w:rsidRDefault="001613D4" w:rsidP="00393BB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>Våre r</w:t>
            </w:r>
            <w:r w:rsidR="00393BB9" w:rsidRPr="00AD319D">
              <w:rPr>
                <w:rFonts w:cstheme="minorHAnsi"/>
                <w:sz w:val="24"/>
                <w:szCs w:val="24"/>
              </w:rPr>
              <w:t>utine</w:t>
            </w:r>
            <w:r w:rsidR="00AD319D" w:rsidRPr="00AD319D">
              <w:rPr>
                <w:rFonts w:cstheme="minorHAnsi"/>
                <w:sz w:val="24"/>
                <w:szCs w:val="24"/>
              </w:rPr>
              <w:t>r</w:t>
            </w:r>
            <w:r w:rsidR="00393BB9" w:rsidRPr="00AD319D">
              <w:rPr>
                <w:rFonts w:cstheme="minorHAnsi"/>
                <w:sz w:val="24"/>
                <w:szCs w:val="24"/>
              </w:rPr>
              <w:t xml:space="preserve"> og retningslinjene er forankret hos </w:t>
            </w:r>
            <w:r w:rsidR="00393BB9" w:rsidRPr="00AD319D">
              <w:rPr>
                <w:rFonts w:cstheme="minorHAnsi"/>
                <w:sz w:val="24"/>
                <w:szCs w:val="24"/>
                <w:highlight w:val="yellow"/>
              </w:rPr>
              <w:t>daglig leder og/eller styret</w:t>
            </w:r>
            <w:r w:rsidR="00393BB9" w:rsidRPr="00AD319D">
              <w:rPr>
                <w:rFonts w:cstheme="minorHAnsi"/>
                <w:sz w:val="24"/>
                <w:szCs w:val="24"/>
              </w:rPr>
              <w:t xml:space="preserve"> </w:t>
            </w:r>
            <w:r w:rsidR="00393BB9" w:rsidRPr="00AD319D">
              <w:rPr>
                <w:rFonts w:cstheme="minorHAnsi"/>
                <w:sz w:val="24"/>
                <w:szCs w:val="24"/>
                <w:highlight w:val="yellow"/>
              </w:rPr>
              <w:t>(stryk/tilpass)</w:t>
            </w:r>
            <w:r w:rsidR="00393BB9" w:rsidRPr="00AD319D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0E2E2DB" w14:textId="77777777" w:rsidR="001532FE" w:rsidRPr="00AD319D" w:rsidRDefault="001532FE" w:rsidP="00E32872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9D078C3" w14:textId="38447342" w:rsidR="00FA263F" w:rsidRPr="00AD319D" w:rsidRDefault="00BD17F1" w:rsidP="001532FE">
            <w:pPr>
              <w:spacing w:after="0"/>
              <w:rPr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>Rutinen</w:t>
            </w:r>
            <w:r w:rsidRPr="00AD319D">
              <w:rPr>
                <w:sz w:val="24"/>
                <w:szCs w:val="24"/>
              </w:rPr>
              <w:t xml:space="preserve"> </w:t>
            </w:r>
            <w:r w:rsidR="001613D4" w:rsidRPr="00AD319D">
              <w:rPr>
                <w:sz w:val="24"/>
                <w:szCs w:val="24"/>
              </w:rPr>
              <w:t>omfatter</w:t>
            </w:r>
            <w:r w:rsidR="00AD319D" w:rsidRPr="00AD319D">
              <w:rPr>
                <w:sz w:val="24"/>
                <w:szCs w:val="24"/>
              </w:rPr>
              <w:t xml:space="preserve"> fordeling av</w:t>
            </w:r>
            <w:r w:rsidRPr="00AD319D">
              <w:rPr>
                <w:sz w:val="24"/>
                <w:szCs w:val="24"/>
              </w:rPr>
              <w:t xml:space="preserve"> ansvar og arbeidsoppgaver</w:t>
            </w:r>
            <w:r w:rsidR="00FD7E93" w:rsidRPr="00AD319D">
              <w:rPr>
                <w:sz w:val="24"/>
                <w:szCs w:val="24"/>
              </w:rPr>
              <w:t xml:space="preserve"> i vår virksomhet</w:t>
            </w:r>
            <w:r w:rsidRPr="00AD319D">
              <w:rPr>
                <w:sz w:val="24"/>
                <w:szCs w:val="24"/>
              </w:rPr>
              <w:t xml:space="preserve">, </w:t>
            </w:r>
            <w:r w:rsidR="00FA263F" w:rsidRPr="00AD319D">
              <w:rPr>
                <w:sz w:val="24"/>
                <w:szCs w:val="24"/>
              </w:rPr>
              <w:t xml:space="preserve">kartlegging </w:t>
            </w:r>
            <w:r w:rsidR="00FD7E93" w:rsidRPr="00AD319D">
              <w:rPr>
                <w:sz w:val="24"/>
                <w:szCs w:val="24"/>
              </w:rPr>
              <w:t>og vurdering av negativ påvirkning</w:t>
            </w:r>
            <w:r w:rsidR="00B0173A" w:rsidRPr="00AD319D">
              <w:rPr>
                <w:sz w:val="24"/>
                <w:szCs w:val="24"/>
              </w:rPr>
              <w:t>/skade</w:t>
            </w:r>
            <w:r w:rsidR="00FD7E93" w:rsidRPr="00AD319D">
              <w:rPr>
                <w:sz w:val="24"/>
                <w:szCs w:val="24"/>
              </w:rPr>
              <w:t xml:space="preserve"> ut fra egen virksomhet</w:t>
            </w:r>
            <w:r w:rsidR="00B0173A" w:rsidRPr="00AD319D">
              <w:rPr>
                <w:sz w:val="24"/>
                <w:szCs w:val="24"/>
              </w:rPr>
              <w:t>,</w:t>
            </w:r>
            <w:r w:rsidR="00FA263F" w:rsidRPr="00AD319D">
              <w:rPr>
                <w:sz w:val="24"/>
                <w:szCs w:val="24"/>
              </w:rPr>
              <w:t xml:space="preserve"> leverandørkjeder og </w:t>
            </w:r>
            <w:r w:rsidR="00B0173A" w:rsidRPr="00AD319D">
              <w:rPr>
                <w:sz w:val="24"/>
                <w:szCs w:val="24"/>
              </w:rPr>
              <w:t xml:space="preserve">forretningsforbindelser, samarbeid om gjenoppretting og erstatning der det er </w:t>
            </w:r>
            <w:proofErr w:type="gramStart"/>
            <w:r w:rsidR="00B0173A" w:rsidRPr="00AD319D">
              <w:rPr>
                <w:sz w:val="24"/>
                <w:szCs w:val="24"/>
              </w:rPr>
              <w:t>påkrevd</w:t>
            </w:r>
            <w:proofErr w:type="gramEnd"/>
            <w:r w:rsidR="00B0173A" w:rsidRPr="00AD319D">
              <w:rPr>
                <w:sz w:val="24"/>
                <w:szCs w:val="24"/>
              </w:rPr>
              <w:t>, stansing/forebygging av negativ påvirkning/skade, overvåkning av gjennomføring og resultater, samt kommunisering av hvordan påvirkningen er håndtert</w:t>
            </w:r>
            <w:r w:rsidR="008138C0" w:rsidRPr="00AD319D">
              <w:rPr>
                <w:sz w:val="24"/>
                <w:szCs w:val="24"/>
              </w:rPr>
              <w:t xml:space="preserve"> og behandling av informasjonskrav</w:t>
            </w:r>
            <w:r w:rsidR="00B0173A" w:rsidRPr="00AD319D">
              <w:rPr>
                <w:sz w:val="24"/>
                <w:szCs w:val="24"/>
              </w:rPr>
              <w:t>.</w:t>
            </w:r>
          </w:p>
          <w:p w14:paraId="5D8B5174" w14:textId="77777777" w:rsidR="00FA263F" w:rsidRPr="00AD319D" w:rsidRDefault="00FA263F" w:rsidP="001532FE">
            <w:pPr>
              <w:spacing w:after="0"/>
              <w:rPr>
                <w:sz w:val="24"/>
                <w:szCs w:val="24"/>
              </w:rPr>
            </w:pPr>
          </w:p>
          <w:p w14:paraId="4A3DF8DB" w14:textId="0A73DEBE" w:rsidR="00E86F35" w:rsidRPr="00AD319D" w:rsidRDefault="007E316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sz w:val="24"/>
                <w:szCs w:val="24"/>
                <w:highlight w:val="yellow"/>
              </w:rPr>
              <w:t>I våre kontrakter stiller vi krav knyttet til åpenhetsloven gjennom spesielle kontraktsbestemmelser. Bestemmelsene sikrer vår virksomhet tilgang til våre under</w:t>
            </w:r>
            <w:r w:rsidR="00AD319D" w:rsidRPr="00AD319D">
              <w:rPr>
                <w:sz w:val="24"/>
                <w:szCs w:val="24"/>
                <w:highlight w:val="yellow"/>
              </w:rPr>
              <w:t>leverandørers</w:t>
            </w:r>
            <w:r w:rsidRPr="00AD319D">
              <w:rPr>
                <w:sz w:val="24"/>
                <w:szCs w:val="24"/>
                <w:highlight w:val="yellow"/>
              </w:rPr>
              <w:t xml:space="preserve"> aktsomhetsvurderinger der de er omfattet av åpenhetsloven, og informasjon om underleverandørers varekjøp og leverandørkjeder der de ikke er omfattet av loven. Våre spesielle kontraktsbestemmelser inkluderer også krav til lønns- og arbeidsvilkår og internkontroll, Sikkerhet, helse og arbeidsmiljø (SHA) for arbeid som skjer i Norge.</w:t>
            </w:r>
          </w:p>
          <w:p w14:paraId="17EDDDDC" w14:textId="3510F9B7" w:rsidR="005532B7" w:rsidRPr="00AD319D" w:rsidRDefault="005532B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4FB69D96" w14:textId="77777777" w:rsidR="004F64AA" w:rsidRDefault="004F64AA" w:rsidP="00E32872">
      <w:pPr>
        <w:spacing w:after="0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54A66A78" w14:textId="33EABF38" w:rsidR="00E32872" w:rsidRPr="00AD319D" w:rsidRDefault="00446AA2" w:rsidP="00E32872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Åpenhetsloven § 5b: </w:t>
      </w:r>
      <w:r w:rsidR="00A71168" w:rsidRPr="00AD319D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Opplysninger om faktiske negative konsekvenser og vesentlig risiko for negative konsekvenser som virksomheten har avdekket gjennom sine aktsomhetsvurderinger</w:t>
      </w:r>
      <w:r w:rsidR="00A71168" w:rsidRPr="00AD319D">
        <w:rPr>
          <w:rFonts w:cstheme="minorHAnsi"/>
          <w:b/>
          <w:bCs/>
          <w:sz w:val="24"/>
          <w:szCs w:val="24"/>
        </w:rPr>
        <w:t xml:space="preserve"> </w:t>
      </w:r>
      <w:r w:rsidR="00AD319D">
        <w:rPr>
          <w:rFonts w:cstheme="minorHAnsi"/>
          <w:b/>
          <w:bCs/>
          <w:sz w:val="24"/>
          <w:szCs w:val="24"/>
        </w:rPr>
        <w:t xml:space="preserve">                   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F60E49" w:rsidRPr="00AD319D" w14:paraId="5B47DA5B" w14:textId="77777777" w:rsidTr="00E32872">
        <w:tc>
          <w:tcPr>
            <w:tcW w:w="9493" w:type="dxa"/>
            <w:tcBorders>
              <w:bottom w:val="dashed" w:sz="4" w:space="0" w:color="000000"/>
            </w:tcBorders>
          </w:tcPr>
          <w:p w14:paraId="77A6F668" w14:textId="7609245F" w:rsidR="00F60E49" w:rsidRPr="00AD319D" w:rsidRDefault="00F60E49" w:rsidP="008C1CF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>Beskrivelse:</w:t>
            </w:r>
          </w:p>
        </w:tc>
      </w:tr>
      <w:tr w:rsidR="00F60E49" w:rsidRPr="00AD319D" w14:paraId="78B029EF" w14:textId="77777777" w:rsidTr="00E32872">
        <w:tc>
          <w:tcPr>
            <w:tcW w:w="9493" w:type="dxa"/>
            <w:tcBorders>
              <w:top w:val="dashed" w:sz="4" w:space="0" w:color="000000"/>
            </w:tcBorders>
          </w:tcPr>
          <w:p w14:paraId="3CDE7199" w14:textId="7CEF8734" w:rsidR="00AD319D" w:rsidRPr="000A2E1E" w:rsidRDefault="00055D4F" w:rsidP="000A2E1E">
            <w:pPr>
              <w:spacing w:after="0"/>
              <w:rPr>
                <w:sz w:val="24"/>
                <w:szCs w:val="24"/>
                <w:highlight w:val="yellow"/>
              </w:rPr>
            </w:pPr>
            <w:r w:rsidRPr="00AD319D">
              <w:rPr>
                <w:sz w:val="24"/>
                <w:szCs w:val="24"/>
                <w:highlight w:val="yellow"/>
              </w:rPr>
              <w:t>A</w:t>
            </w:r>
            <w:r w:rsidR="007E3161" w:rsidRPr="00AD319D">
              <w:rPr>
                <w:sz w:val="24"/>
                <w:szCs w:val="24"/>
                <w:highlight w:val="yellow"/>
              </w:rPr>
              <w:t>rbeidsmøter for kartlegging av leverandørkjeder og aktsomhetsvurderinger</w:t>
            </w:r>
            <w:r w:rsidR="00CE2582" w:rsidRPr="00AD319D">
              <w:rPr>
                <w:sz w:val="24"/>
                <w:szCs w:val="24"/>
                <w:highlight w:val="yellow"/>
              </w:rPr>
              <w:t xml:space="preserve"> </w:t>
            </w:r>
            <w:r w:rsidRPr="00AD319D">
              <w:rPr>
                <w:sz w:val="24"/>
                <w:szCs w:val="24"/>
                <w:highlight w:val="yellow"/>
              </w:rPr>
              <w:t>er igangsatt i rapporteringsperioden</w:t>
            </w:r>
            <w:r w:rsidR="007E3161" w:rsidRPr="00AD319D">
              <w:rPr>
                <w:sz w:val="24"/>
                <w:szCs w:val="24"/>
                <w:highlight w:val="yellow"/>
              </w:rPr>
              <w:t xml:space="preserve">. </w:t>
            </w:r>
            <w:r w:rsidR="00D22E55">
              <w:rPr>
                <w:sz w:val="24"/>
                <w:szCs w:val="24"/>
                <w:highlight w:val="yellow"/>
              </w:rPr>
              <w:t>Vi</w:t>
            </w:r>
            <w:r w:rsidR="006204EE" w:rsidRPr="00AD319D">
              <w:rPr>
                <w:sz w:val="24"/>
                <w:szCs w:val="24"/>
                <w:highlight w:val="yellow"/>
              </w:rPr>
              <w:t xml:space="preserve"> </w:t>
            </w:r>
            <w:r w:rsidR="007E3161" w:rsidRPr="00AD319D">
              <w:rPr>
                <w:sz w:val="24"/>
                <w:szCs w:val="24"/>
                <w:highlight w:val="yellow"/>
              </w:rPr>
              <w:t>anvender</w:t>
            </w:r>
            <w:r w:rsidR="006204EE" w:rsidRPr="00AD319D">
              <w:rPr>
                <w:sz w:val="24"/>
                <w:szCs w:val="24"/>
                <w:highlight w:val="yellow"/>
              </w:rPr>
              <w:t xml:space="preserve"> </w:t>
            </w:r>
            <w:r w:rsidR="007E3161" w:rsidRPr="00AD319D">
              <w:rPr>
                <w:sz w:val="24"/>
                <w:szCs w:val="24"/>
                <w:highlight w:val="yellow"/>
              </w:rPr>
              <w:t>tilgjengelig informasjon fra bransjeforeninger og andre aktører som grunnlag for vår</w:t>
            </w:r>
            <w:r w:rsidR="006204EE" w:rsidRPr="00AD319D">
              <w:rPr>
                <w:sz w:val="24"/>
                <w:szCs w:val="24"/>
                <w:highlight w:val="yellow"/>
              </w:rPr>
              <w:t>t</w:t>
            </w:r>
            <w:r w:rsidR="007E3161" w:rsidRPr="00AD319D">
              <w:rPr>
                <w:sz w:val="24"/>
                <w:szCs w:val="24"/>
                <w:highlight w:val="yellow"/>
              </w:rPr>
              <w:t xml:space="preserve"> </w:t>
            </w:r>
            <w:r w:rsidR="00D22E55">
              <w:rPr>
                <w:sz w:val="24"/>
                <w:szCs w:val="24"/>
                <w:highlight w:val="yellow"/>
              </w:rPr>
              <w:t xml:space="preserve">interne </w:t>
            </w:r>
            <w:r w:rsidR="007E3161" w:rsidRPr="00AD319D">
              <w:rPr>
                <w:sz w:val="24"/>
                <w:szCs w:val="24"/>
                <w:highlight w:val="yellow"/>
              </w:rPr>
              <w:t xml:space="preserve">arbeid. </w:t>
            </w:r>
            <w:r w:rsidRPr="00AD319D">
              <w:rPr>
                <w:sz w:val="24"/>
                <w:szCs w:val="24"/>
                <w:highlight w:val="yellow"/>
              </w:rPr>
              <w:t>Vi har prioritert kartlegging av verdikjeder knyttet til vår kjernevirksomhet</w:t>
            </w:r>
            <w:r w:rsidR="000A2E1E">
              <w:rPr>
                <w:sz w:val="24"/>
                <w:szCs w:val="24"/>
                <w:highlight w:val="yellow"/>
              </w:rPr>
              <w:t>.</w:t>
            </w:r>
            <w:r w:rsidRPr="00AD319D">
              <w:rPr>
                <w:sz w:val="24"/>
                <w:szCs w:val="24"/>
                <w:highlight w:val="yellow"/>
              </w:rPr>
              <w:t xml:space="preserve"> </w:t>
            </w:r>
            <w:r w:rsidR="000A2E1E">
              <w:rPr>
                <w:sz w:val="24"/>
                <w:szCs w:val="24"/>
                <w:highlight w:val="yellow"/>
              </w:rPr>
              <w:t xml:space="preserve">Vi </w:t>
            </w:r>
            <w:r w:rsidRPr="00AD319D">
              <w:rPr>
                <w:sz w:val="24"/>
                <w:szCs w:val="24"/>
                <w:highlight w:val="yellow"/>
              </w:rPr>
              <w:t xml:space="preserve">støtter </w:t>
            </w:r>
            <w:r w:rsidR="00443B81">
              <w:rPr>
                <w:sz w:val="24"/>
                <w:szCs w:val="24"/>
                <w:highlight w:val="yellow"/>
              </w:rPr>
              <w:t xml:space="preserve">oss </w:t>
            </w:r>
            <w:proofErr w:type="gramStart"/>
            <w:r w:rsidR="00443B81">
              <w:rPr>
                <w:sz w:val="24"/>
                <w:szCs w:val="24"/>
                <w:highlight w:val="yellow"/>
              </w:rPr>
              <w:t>for øvrig</w:t>
            </w:r>
            <w:proofErr w:type="gramEnd"/>
            <w:r w:rsidR="00443B81">
              <w:rPr>
                <w:sz w:val="24"/>
                <w:szCs w:val="24"/>
                <w:highlight w:val="yellow"/>
              </w:rPr>
              <w:t xml:space="preserve"> på </w:t>
            </w:r>
            <w:r w:rsidRPr="00AD319D">
              <w:rPr>
                <w:sz w:val="24"/>
                <w:szCs w:val="24"/>
                <w:highlight w:val="yellow"/>
              </w:rPr>
              <w:t xml:space="preserve">kartleggingsarbeidet </w:t>
            </w:r>
            <w:r w:rsidR="000A2E1E">
              <w:rPr>
                <w:sz w:val="24"/>
                <w:szCs w:val="24"/>
                <w:highlight w:val="yellow"/>
              </w:rPr>
              <w:t>som skjer</w:t>
            </w:r>
            <w:r w:rsidRPr="00AD319D">
              <w:rPr>
                <w:sz w:val="24"/>
                <w:szCs w:val="24"/>
                <w:highlight w:val="yellow"/>
              </w:rPr>
              <w:t xml:space="preserve"> på bransjenivå</w:t>
            </w:r>
            <w:r w:rsidR="00443B81">
              <w:rPr>
                <w:sz w:val="24"/>
                <w:szCs w:val="24"/>
              </w:rPr>
              <w:t>,</w:t>
            </w:r>
            <w:r w:rsidR="000A2E1E">
              <w:rPr>
                <w:sz w:val="24"/>
                <w:szCs w:val="24"/>
              </w:rPr>
              <w:t xml:space="preserve"> </w:t>
            </w:r>
            <w:r w:rsidRPr="00AD319D">
              <w:rPr>
                <w:rFonts w:cstheme="minorHAnsi"/>
                <w:sz w:val="24"/>
                <w:szCs w:val="24"/>
              </w:rPr>
              <w:t>hvor</w:t>
            </w:r>
            <w:r w:rsidR="00AF57D8" w:rsidRPr="00AD319D">
              <w:rPr>
                <w:rFonts w:cstheme="minorHAnsi"/>
                <w:sz w:val="24"/>
                <w:szCs w:val="24"/>
              </w:rPr>
              <w:t xml:space="preserve"> </w:t>
            </w:r>
            <w:r w:rsidR="00F60E49" w:rsidRPr="00AD319D">
              <w:rPr>
                <w:rFonts w:cstheme="minorHAnsi"/>
                <w:sz w:val="24"/>
                <w:szCs w:val="24"/>
              </w:rPr>
              <w:t>naturstein, VVS-produkter, elektroprodukter og solcelleprodukter</w:t>
            </w:r>
            <w:r w:rsidR="00CE2582" w:rsidRPr="00AD319D">
              <w:rPr>
                <w:rFonts w:cstheme="minorHAnsi"/>
                <w:sz w:val="24"/>
                <w:szCs w:val="24"/>
              </w:rPr>
              <w:t xml:space="preserve"> </w:t>
            </w:r>
            <w:r w:rsidRPr="00AD319D">
              <w:rPr>
                <w:rFonts w:cstheme="minorHAnsi"/>
                <w:sz w:val="24"/>
                <w:szCs w:val="24"/>
              </w:rPr>
              <w:t xml:space="preserve">har </w:t>
            </w:r>
            <w:r w:rsidR="00CE2582" w:rsidRPr="00AD319D">
              <w:rPr>
                <w:rFonts w:cstheme="minorHAnsi"/>
                <w:sz w:val="24"/>
                <w:szCs w:val="24"/>
              </w:rPr>
              <w:t>vært prioritert</w:t>
            </w:r>
            <w:r w:rsidR="000A2E1E">
              <w:rPr>
                <w:rFonts w:cstheme="minorHAnsi"/>
                <w:sz w:val="24"/>
                <w:szCs w:val="24"/>
              </w:rPr>
              <w:t xml:space="preserve"> </w:t>
            </w:r>
            <w:r w:rsidR="00D22E55">
              <w:rPr>
                <w:rFonts w:cstheme="minorHAnsi"/>
                <w:sz w:val="24"/>
                <w:szCs w:val="24"/>
              </w:rPr>
              <w:t xml:space="preserve">i rapporteringsperioden </w:t>
            </w:r>
            <w:r w:rsidR="000A2E1E">
              <w:rPr>
                <w:rFonts w:cstheme="minorHAnsi"/>
                <w:sz w:val="24"/>
                <w:szCs w:val="24"/>
              </w:rPr>
              <w:t>med grunnlag i vesentlig risiko for negative konsekvenser</w:t>
            </w:r>
            <w:r w:rsidR="00F60E49" w:rsidRPr="00AD319D">
              <w:rPr>
                <w:rFonts w:cstheme="minorHAnsi"/>
                <w:sz w:val="24"/>
                <w:szCs w:val="24"/>
              </w:rPr>
              <w:t>.</w:t>
            </w:r>
            <w:r w:rsidR="00AF57D8" w:rsidRPr="00AD319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715AAB" w14:textId="01093DFA" w:rsidR="00F60E49" w:rsidRPr="00AD319D" w:rsidRDefault="00AD319D" w:rsidP="00E32872">
            <w:pPr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(</w:t>
            </w:r>
            <w:r w:rsidR="00443B81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Kommentar: </w:t>
            </w:r>
            <w:r w:rsidRPr="00AD319D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Angi eventuelle andre verdikjeder som er prioritert bedriftsinternt.</w:t>
            </w:r>
            <w:r w:rsidR="00443B81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="00AF57D8" w:rsidRPr="00AD319D">
              <w:rPr>
                <w:i/>
                <w:iCs/>
                <w:sz w:val="24"/>
                <w:szCs w:val="24"/>
                <w:highlight w:val="yellow"/>
              </w:rPr>
              <w:t>Bedriften må, basert på eget innkjøpsmønster, vurdere hvilke kategorier eller leverandørkjeder som skal prioriteres i det videre arbeidet med tiltak og oppfølging).</w:t>
            </w:r>
          </w:p>
        </w:tc>
      </w:tr>
    </w:tbl>
    <w:p w14:paraId="4115F306" w14:textId="18B63603" w:rsidR="004F64AA" w:rsidRDefault="004F64AA" w:rsidP="00E32872">
      <w:pPr>
        <w:spacing w:line="240" w:lineRule="auto"/>
        <w:rPr>
          <w:rFonts w:cstheme="minorHAnsi"/>
          <w:b/>
          <w:sz w:val="24"/>
          <w:szCs w:val="24"/>
        </w:rPr>
      </w:pPr>
    </w:p>
    <w:p w14:paraId="7B85A073" w14:textId="2BC85FF5" w:rsidR="00585C26" w:rsidRPr="00AD319D" w:rsidRDefault="00446AA2" w:rsidP="00E32872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Åpenhetsloven § 5c: </w:t>
      </w:r>
      <w:r w:rsidR="00F60E49" w:rsidRPr="00AD319D">
        <w:rPr>
          <w:rFonts w:cstheme="minorHAnsi"/>
          <w:b/>
          <w:sz w:val="24"/>
          <w:szCs w:val="24"/>
        </w:rPr>
        <w:t xml:space="preserve">Opplysninger om </w:t>
      </w:r>
      <w:r w:rsidR="00585C26" w:rsidRPr="00AD319D">
        <w:rPr>
          <w:rFonts w:cstheme="minorHAnsi"/>
          <w:b/>
          <w:sz w:val="24"/>
          <w:szCs w:val="24"/>
        </w:rPr>
        <w:t>eventuelle tiltak</w:t>
      </w:r>
      <w:r w:rsidR="00F60E49" w:rsidRPr="00AD319D">
        <w:rPr>
          <w:rFonts w:cstheme="minorHAnsi"/>
          <w:b/>
          <w:sz w:val="24"/>
          <w:szCs w:val="24"/>
        </w:rPr>
        <w:t xml:space="preserve"> virksomheten har iverksatt eller planlegger å iverksette </w:t>
      </w:r>
      <w:r w:rsidR="00585C26" w:rsidRPr="00AD319D">
        <w:rPr>
          <w:rFonts w:cstheme="minorHAnsi"/>
          <w:b/>
          <w:sz w:val="24"/>
          <w:szCs w:val="24"/>
        </w:rPr>
        <w:t>for å stanse</w:t>
      </w:r>
      <w:r w:rsidR="00F60E49" w:rsidRPr="00AD319D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F60E49" w:rsidRPr="00AD319D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faktiske negative konsekvenser eller begrense vesentlig risiko for negative konsekvenser, og resultatet eller forventede resultater av disse tiltakene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85C26" w:rsidRPr="00AD319D" w14:paraId="716E26CB" w14:textId="77777777" w:rsidTr="00E32872">
        <w:tc>
          <w:tcPr>
            <w:tcW w:w="9493" w:type="dxa"/>
            <w:tcBorders>
              <w:bottom w:val="single" w:sz="4" w:space="0" w:color="auto"/>
            </w:tcBorders>
          </w:tcPr>
          <w:p w14:paraId="02798FC8" w14:textId="6BF3219D" w:rsidR="00585C26" w:rsidRPr="00AD319D" w:rsidRDefault="00585C2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</w:rPr>
              <w:t>Beskrivelse</w:t>
            </w:r>
          </w:p>
          <w:p w14:paraId="15FD515A" w14:textId="77777777" w:rsidR="001613D4" w:rsidRPr="00AD319D" w:rsidRDefault="001613D4" w:rsidP="001613D4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>Vi bygger vår kartlegging på informasjon fra nærmeste leverandør, på informasjon i Startbank og anerkjente vareregistre.</w:t>
            </w:r>
          </w:p>
          <w:p w14:paraId="535172C7" w14:textId="2CBB5FFD" w:rsidR="00CE0AAF" w:rsidRPr="00AD319D" w:rsidRDefault="00CE0AAF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50DF569A" w14:textId="230A2CB0" w:rsidR="00D22E55" w:rsidRPr="00AD319D" w:rsidRDefault="001613D4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>Vi gjennomfører egne undersøkelser av leverandører i forbindelse med egenimport med tilhørende risikovurdering (slett hvis ikke aktuelt).</w:t>
            </w:r>
          </w:p>
          <w:p w14:paraId="1E249D4E" w14:textId="2EDF9B31" w:rsidR="00AF57D8" w:rsidRPr="00AD319D" w:rsidRDefault="00AF57D8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Vår virksomhet utfører i tråd med vår bedriftsinterne rutine </w:t>
            </w:r>
            <w:r w:rsidR="00CE0AAF" w:rsidRPr="00AD319D">
              <w:rPr>
                <w:rFonts w:cstheme="minorHAnsi"/>
                <w:sz w:val="24"/>
                <w:szCs w:val="24"/>
                <w:highlight w:val="yellow"/>
              </w:rPr>
              <w:t>(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>påseplikt</w:t>
            </w:r>
            <w:r w:rsidR="00CE0AAF" w:rsidRPr="00AD319D">
              <w:rPr>
                <w:rFonts w:cstheme="minorHAnsi"/>
                <w:sz w:val="24"/>
                <w:szCs w:val="24"/>
                <w:highlight w:val="yellow"/>
              </w:rPr>
              <w:t xml:space="preserve"> mv)</w:t>
            </w:r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 kontroll av lønns- og arbeidsvilkår på</w:t>
            </w:r>
            <w:r w:rsidR="00CE0AAF" w:rsidRPr="00AD319D">
              <w:rPr>
                <w:rFonts w:cstheme="minorHAnsi"/>
                <w:sz w:val="24"/>
                <w:szCs w:val="24"/>
                <w:highlight w:val="yellow"/>
              </w:rPr>
              <w:t xml:space="preserve"> bygg- og anleggsplasser i Norge.</w:t>
            </w:r>
          </w:p>
          <w:p w14:paraId="22D9F960" w14:textId="77777777" w:rsidR="00CE0AAF" w:rsidRPr="00AD319D" w:rsidRDefault="00CE0AAF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7783D756" w14:textId="7735F6EE" w:rsidR="00CE0AAF" w:rsidRPr="00AD319D" w:rsidRDefault="00CE0AAF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Vi bruker </w:t>
            </w:r>
            <w:proofErr w:type="spellStart"/>
            <w:r w:rsidRPr="00AD319D">
              <w:rPr>
                <w:rFonts w:cstheme="minorHAnsi"/>
                <w:sz w:val="24"/>
                <w:szCs w:val="24"/>
                <w:highlight w:val="yellow"/>
              </w:rPr>
              <w:t>BNLs</w:t>
            </w:r>
            <w:proofErr w:type="spellEnd"/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 veileder for valg av seriøse bedrifter for å fremme de formål som åpenhetsloven og annet regelverk skal fremme (arbeidsmiljøloven, byggherreforskriften, </w:t>
            </w:r>
            <w:proofErr w:type="spellStart"/>
            <w:r w:rsidRPr="00AD319D">
              <w:rPr>
                <w:rFonts w:cstheme="minorHAnsi"/>
                <w:sz w:val="24"/>
                <w:szCs w:val="24"/>
                <w:highlight w:val="yellow"/>
              </w:rPr>
              <w:t>allmengjøringsloven</w:t>
            </w:r>
            <w:proofErr w:type="spellEnd"/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, forskrifter om </w:t>
            </w:r>
            <w:proofErr w:type="spellStart"/>
            <w:r w:rsidRPr="00AD319D">
              <w:rPr>
                <w:rFonts w:cstheme="minorHAnsi"/>
                <w:sz w:val="24"/>
                <w:szCs w:val="24"/>
                <w:highlight w:val="yellow"/>
              </w:rPr>
              <w:t>allmenngjøring</w:t>
            </w:r>
            <w:proofErr w:type="spellEnd"/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 av tariffavtaler, forskrift om lønns- og arbeidsvilkår i</w:t>
            </w:r>
            <w:r w:rsidR="00756258" w:rsidRPr="00AD319D">
              <w:rPr>
                <w:rFonts w:cstheme="minorHAnsi"/>
                <w:sz w:val="24"/>
                <w:szCs w:val="24"/>
                <w:highlight w:val="yellow"/>
              </w:rPr>
              <w:t xml:space="preserve"> offentlige kontrakter mv.).</w:t>
            </w:r>
          </w:p>
          <w:p w14:paraId="1F84178C" w14:textId="77777777" w:rsidR="00756258" w:rsidRPr="00AD319D" w:rsidRDefault="00756258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5069444D" w14:textId="122EC8B0" w:rsidR="00E32872" w:rsidRPr="000A2E1E" w:rsidRDefault="00756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Vi planlegger å følge </w:t>
            </w:r>
            <w:proofErr w:type="spellStart"/>
            <w:r w:rsidRPr="00AD319D">
              <w:rPr>
                <w:rFonts w:cstheme="minorHAnsi"/>
                <w:sz w:val="24"/>
                <w:szCs w:val="24"/>
                <w:highlight w:val="yellow"/>
              </w:rPr>
              <w:t>BNLs</w:t>
            </w:r>
            <w:proofErr w:type="spellEnd"/>
            <w:r w:rsidRPr="00AD319D">
              <w:rPr>
                <w:rFonts w:cstheme="minorHAnsi"/>
                <w:sz w:val="24"/>
                <w:szCs w:val="24"/>
                <w:highlight w:val="yellow"/>
              </w:rPr>
              <w:t xml:space="preserve"> seminarer om arbeidet med kartlegging av verdikjeder på bransjenivå som grunnlag for videre kartlegging og prioritering av vårt bedriftsinterne arbeid med aktsomhetsvurderinger i våre verdikjeder.</w:t>
            </w:r>
            <w:r w:rsidR="005041D1">
              <w:rPr>
                <w:rFonts w:cstheme="minorHAnsi"/>
                <w:sz w:val="24"/>
                <w:szCs w:val="24"/>
              </w:rPr>
              <w:t xml:space="preserve"> </w:t>
            </w:r>
            <w:r w:rsidR="005041D1" w:rsidRPr="005041D1">
              <w:rPr>
                <w:rFonts w:cstheme="minorHAnsi"/>
                <w:sz w:val="24"/>
                <w:szCs w:val="24"/>
                <w:highlight w:val="yellow"/>
              </w:rPr>
              <w:t>Vi vil oppdatere vår rutine/retningslinje med varslingskanal/klagemekanisme i tråd med Forbrukertilsynets veiledning og anbefalinger fra BNL.</w:t>
            </w:r>
            <w:r w:rsidR="005041D1">
              <w:rPr>
                <w:rFonts w:cstheme="minorHAnsi"/>
                <w:sz w:val="24"/>
                <w:szCs w:val="24"/>
              </w:rPr>
              <w:t xml:space="preserve"> </w:t>
            </w:r>
            <w:r w:rsidR="000A2E1E" w:rsidRPr="000A2E1E">
              <w:rPr>
                <w:rFonts w:cstheme="minorHAnsi"/>
                <w:sz w:val="24"/>
                <w:szCs w:val="24"/>
                <w:highlight w:val="yellow"/>
              </w:rPr>
              <w:t>Tiltakene forventes å</w:t>
            </w:r>
            <w:r w:rsidR="000A2E1E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="000A2E1E" w:rsidRPr="000A2E1E">
              <w:rPr>
                <w:rFonts w:cstheme="minorHAnsi"/>
                <w:sz w:val="24"/>
                <w:szCs w:val="24"/>
                <w:highlight w:val="yellow"/>
              </w:rPr>
              <w:t>bidra til</w:t>
            </w:r>
            <w:r w:rsidR="000A2E1E">
              <w:rPr>
                <w:rFonts w:cstheme="minorHAnsi"/>
                <w:sz w:val="24"/>
                <w:szCs w:val="24"/>
                <w:highlight w:val="yellow"/>
              </w:rPr>
              <w:t xml:space="preserve"> økt mulighet til å</w:t>
            </w:r>
            <w:r w:rsidR="000A2E1E" w:rsidRPr="000A2E1E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="000A2E1E">
              <w:rPr>
                <w:rFonts w:cstheme="minorHAnsi"/>
                <w:sz w:val="24"/>
                <w:szCs w:val="24"/>
                <w:highlight w:val="yellow"/>
              </w:rPr>
              <w:t xml:space="preserve">fange opp </w:t>
            </w:r>
            <w:r w:rsidR="000A2E1E" w:rsidRPr="000A2E1E">
              <w:rPr>
                <w:rFonts w:cstheme="minorHAnsi"/>
                <w:sz w:val="24"/>
                <w:szCs w:val="24"/>
                <w:highlight w:val="yellow"/>
              </w:rPr>
              <w:t>risiko for brudd på de formål åpenhetsloven skal ivareta</w:t>
            </w:r>
            <w:r w:rsidR="000A2E1E">
              <w:rPr>
                <w:rFonts w:cstheme="minorHAnsi"/>
                <w:sz w:val="24"/>
                <w:szCs w:val="24"/>
                <w:highlight w:val="yellow"/>
              </w:rPr>
              <w:t xml:space="preserve">, og bidra til å rette opp negative konsekvenser der det er </w:t>
            </w:r>
            <w:proofErr w:type="gramStart"/>
            <w:r w:rsidR="000A2E1E">
              <w:rPr>
                <w:rFonts w:cstheme="minorHAnsi"/>
                <w:sz w:val="24"/>
                <w:szCs w:val="24"/>
                <w:highlight w:val="yellow"/>
              </w:rPr>
              <w:t>påkrevd</w:t>
            </w:r>
            <w:proofErr w:type="gramEnd"/>
            <w:r w:rsidR="000A2E1E" w:rsidRPr="000A2E1E">
              <w:rPr>
                <w:rFonts w:cstheme="minorHAnsi"/>
                <w:sz w:val="24"/>
                <w:szCs w:val="24"/>
                <w:highlight w:val="yellow"/>
              </w:rPr>
              <w:t>.</w:t>
            </w:r>
            <w:r w:rsidR="000A2E1E">
              <w:rPr>
                <w:rFonts w:cstheme="minorHAnsi"/>
                <w:sz w:val="24"/>
                <w:szCs w:val="24"/>
              </w:rPr>
              <w:t xml:space="preserve"> </w:t>
            </w:r>
            <w:r w:rsidR="00AD319D" w:rsidRPr="00AD319D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(</w:t>
            </w:r>
            <w:r w:rsidRPr="00AD319D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Beskriv </w:t>
            </w:r>
            <w:r w:rsidR="00AD319D" w:rsidRPr="00AD319D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evt. </w:t>
            </w:r>
            <w:r w:rsidRPr="00AD319D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nærmere hva din </w:t>
            </w:r>
            <w:r w:rsidR="00AD319D" w:rsidRPr="00AD319D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>virksomhet</w:t>
            </w:r>
            <w:r w:rsidRPr="00AD319D">
              <w:rPr>
                <w:rFonts w:cstheme="minorHAnsi"/>
                <w:i/>
                <w:iCs/>
                <w:sz w:val="24"/>
                <w:szCs w:val="24"/>
                <w:highlight w:val="yellow"/>
              </w:rPr>
              <w:t xml:space="preserve"> h</w:t>
            </w:r>
            <w:r w:rsidRPr="00AD319D">
              <w:rPr>
                <w:rFonts w:cstheme="minorHAnsi"/>
                <w:i/>
                <w:iCs/>
                <w:color w:val="333333"/>
                <w:sz w:val="24"/>
                <w:szCs w:val="24"/>
                <w:highlight w:val="yellow"/>
                <w:shd w:val="clear" w:color="auto" w:fill="FFFFFF"/>
              </w:rPr>
              <w:t>ar iverksatt eller planlegger å iverksette</w:t>
            </w:r>
            <w:r w:rsidR="00443B81">
              <w:rPr>
                <w:rFonts w:cstheme="minorHAnsi"/>
                <w:i/>
                <w:iCs/>
                <w:color w:val="333333"/>
                <w:sz w:val="24"/>
                <w:szCs w:val="24"/>
                <w:highlight w:val="yellow"/>
                <w:shd w:val="clear" w:color="auto" w:fill="FFFFFF"/>
              </w:rPr>
              <w:t>,</w:t>
            </w:r>
            <w:r w:rsidRPr="00AD319D">
              <w:rPr>
                <w:rFonts w:cstheme="minorHAnsi"/>
                <w:i/>
                <w:iCs/>
                <w:color w:val="333333"/>
                <w:sz w:val="24"/>
                <w:szCs w:val="24"/>
                <w:highlight w:val="yellow"/>
                <w:shd w:val="clear" w:color="auto" w:fill="FFFFFF"/>
              </w:rPr>
              <w:t xml:space="preserve"> for eks. henvendelse til viktige leverandører hvor risikoen for brudd på de formål åpenhetsloven skal fremme anses stor o.l.)</w:t>
            </w:r>
            <w:r w:rsidR="005041D1">
              <w:rPr>
                <w:rFonts w:cstheme="minorHAnsi"/>
                <w:i/>
                <w:i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156FA30D" w14:textId="6E8F7134" w:rsidR="006414AE" w:rsidRDefault="006414AE" w:rsidP="005041D1"/>
    <w:sectPr w:rsidR="006414AE" w:rsidSect="00F263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FD7A" w14:textId="77777777" w:rsidR="008A1B84" w:rsidRDefault="008A1B84" w:rsidP="006E39C9">
      <w:pPr>
        <w:spacing w:after="0" w:line="240" w:lineRule="auto"/>
      </w:pPr>
      <w:r>
        <w:separator/>
      </w:r>
    </w:p>
  </w:endnote>
  <w:endnote w:type="continuationSeparator" w:id="0">
    <w:p w14:paraId="62C64558" w14:textId="77777777" w:rsidR="008A1B84" w:rsidRDefault="008A1B84" w:rsidP="006E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7370205"/>
      <w:docPartObj>
        <w:docPartGallery w:val="Page Numbers (Bottom of Page)"/>
        <w:docPartUnique/>
      </w:docPartObj>
    </w:sdtPr>
    <w:sdtEndPr/>
    <w:sdtContent>
      <w:p w14:paraId="276F3F03" w14:textId="7D34BCA7" w:rsidR="00526A85" w:rsidRDefault="00526A8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87E472" w14:textId="77777777" w:rsidR="00526A85" w:rsidRDefault="00526A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5394" w14:textId="77777777" w:rsidR="008A1B84" w:rsidRDefault="008A1B84" w:rsidP="006E39C9">
      <w:pPr>
        <w:spacing w:after="0" w:line="240" w:lineRule="auto"/>
      </w:pPr>
      <w:r>
        <w:separator/>
      </w:r>
    </w:p>
  </w:footnote>
  <w:footnote w:type="continuationSeparator" w:id="0">
    <w:p w14:paraId="10BF6D08" w14:textId="77777777" w:rsidR="008A1B84" w:rsidRDefault="008A1B84" w:rsidP="006E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566C" w14:textId="52CA4A55" w:rsidR="006E39C9" w:rsidRPr="006E39C9" w:rsidRDefault="0066215C">
    <w:pPr>
      <w:pStyle w:val="Topptekst"/>
      <w:rPr>
        <w:b/>
        <w:bCs/>
        <w:sz w:val="32"/>
        <w:szCs w:val="32"/>
      </w:rPr>
    </w:pPr>
    <w:r>
      <w:rPr>
        <w:b/>
        <w:bCs/>
        <w:sz w:val="32"/>
        <w:szCs w:val="32"/>
      </w:rPr>
      <w:t>Redegjørelse</w:t>
    </w:r>
    <w:r w:rsidR="006E39C9" w:rsidRPr="006E39C9">
      <w:rPr>
        <w:b/>
        <w:bCs/>
        <w:sz w:val="32"/>
        <w:szCs w:val="32"/>
      </w:rPr>
      <w:t xml:space="preserve"> </w:t>
    </w:r>
    <w:r w:rsidR="00A543DB">
      <w:rPr>
        <w:b/>
        <w:bCs/>
        <w:sz w:val="32"/>
        <w:szCs w:val="32"/>
      </w:rPr>
      <w:t xml:space="preserve">for </w:t>
    </w:r>
    <w:r w:rsidR="006E39C9" w:rsidRPr="006E39C9">
      <w:rPr>
        <w:b/>
        <w:bCs/>
        <w:sz w:val="32"/>
        <w:szCs w:val="32"/>
      </w:rPr>
      <w:t>aktsomhetsvurderinger</w:t>
    </w:r>
    <w:r w:rsidR="006E39C9">
      <w:rPr>
        <w:b/>
        <w:bCs/>
        <w:sz w:val="32"/>
        <w:szCs w:val="32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9C9"/>
    <w:rsid w:val="00007E8B"/>
    <w:rsid w:val="00055D4F"/>
    <w:rsid w:val="0005647B"/>
    <w:rsid w:val="000A2E1E"/>
    <w:rsid w:val="00141CCE"/>
    <w:rsid w:val="00150AAA"/>
    <w:rsid w:val="001532FE"/>
    <w:rsid w:val="001613D4"/>
    <w:rsid w:val="00282FBD"/>
    <w:rsid w:val="0032734A"/>
    <w:rsid w:val="00373C55"/>
    <w:rsid w:val="00393BB9"/>
    <w:rsid w:val="003B7DFD"/>
    <w:rsid w:val="003E7979"/>
    <w:rsid w:val="00443B81"/>
    <w:rsid w:val="00446AA2"/>
    <w:rsid w:val="004D6B6E"/>
    <w:rsid w:val="004F64AA"/>
    <w:rsid w:val="005041D1"/>
    <w:rsid w:val="00526A85"/>
    <w:rsid w:val="005532B7"/>
    <w:rsid w:val="00585C26"/>
    <w:rsid w:val="005F6F20"/>
    <w:rsid w:val="0061684C"/>
    <w:rsid w:val="006204EE"/>
    <w:rsid w:val="00623AC1"/>
    <w:rsid w:val="006414AE"/>
    <w:rsid w:val="00656B50"/>
    <w:rsid w:val="0066215C"/>
    <w:rsid w:val="006E39C9"/>
    <w:rsid w:val="00756258"/>
    <w:rsid w:val="007869AA"/>
    <w:rsid w:val="007E3161"/>
    <w:rsid w:val="0080598C"/>
    <w:rsid w:val="008138C0"/>
    <w:rsid w:val="008159B1"/>
    <w:rsid w:val="00832C1C"/>
    <w:rsid w:val="008940D8"/>
    <w:rsid w:val="008A1B84"/>
    <w:rsid w:val="008B15A4"/>
    <w:rsid w:val="00905A78"/>
    <w:rsid w:val="00956D2E"/>
    <w:rsid w:val="00984FF1"/>
    <w:rsid w:val="009B31FE"/>
    <w:rsid w:val="00A1772B"/>
    <w:rsid w:val="00A543DB"/>
    <w:rsid w:val="00A60325"/>
    <w:rsid w:val="00A71168"/>
    <w:rsid w:val="00A962E7"/>
    <w:rsid w:val="00AA1064"/>
    <w:rsid w:val="00AA7B78"/>
    <w:rsid w:val="00AD319D"/>
    <w:rsid w:val="00AE0C73"/>
    <w:rsid w:val="00AF57D8"/>
    <w:rsid w:val="00B0173A"/>
    <w:rsid w:val="00BB21BB"/>
    <w:rsid w:val="00BD17F1"/>
    <w:rsid w:val="00C37A82"/>
    <w:rsid w:val="00C46866"/>
    <w:rsid w:val="00CE0AAF"/>
    <w:rsid w:val="00CE2582"/>
    <w:rsid w:val="00D22E55"/>
    <w:rsid w:val="00DB40B0"/>
    <w:rsid w:val="00E24581"/>
    <w:rsid w:val="00E32872"/>
    <w:rsid w:val="00E86F35"/>
    <w:rsid w:val="00E951B5"/>
    <w:rsid w:val="00EC44E9"/>
    <w:rsid w:val="00ED72C6"/>
    <w:rsid w:val="00F26385"/>
    <w:rsid w:val="00F3266C"/>
    <w:rsid w:val="00F50C1F"/>
    <w:rsid w:val="00F531D3"/>
    <w:rsid w:val="00F60E49"/>
    <w:rsid w:val="00FA263F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C500D"/>
  <w15:docId w15:val="{B0D64B5F-2F42-4919-9F52-ACEA7A0F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3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39C9"/>
  </w:style>
  <w:style w:type="paragraph" w:styleId="Bunntekst">
    <w:name w:val="footer"/>
    <w:basedOn w:val="Normal"/>
    <w:link w:val="BunntekstTegn"/>
    <w:uiPriority w:val="99"/>
    <w:unhideWhenUsed/>
    <w:rsid w:val="006E3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39C9"/>
  </w:style>
  <w:style w:type="table" w:styleId="Tabellrutenett">
    <w:name w:val="Table Grid"/>
    <w:basedOn w:val="Vanligtabell"/>
    <w:uiPriority w:val="39"/>
    <w:rsid w:val="003B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A543DB"/>
    <w:pPr>
      <w:spacing w:after="0" w:line="240" w:lineRule="auto"/>
    </w:pPr>
  </w:style>
  <w:style w:type="character" w:customStyle="1" w:styleId="spelle">
    <w:name w:val="spelle"/>
    <w:basedOn w:val="Standardskriftforavsnitt"/>
    <w:rsid w:val="00BD17F1"/>
  </w:style>
  <w:style w:type="character" w:styleId="Merknadsreferanse">
    <w:name w:val="annotation reference"/>
    <w:basedOn w:val="Standardskriftforavsnitt"/>
    <w:uiPriority w:val="99"/>
    <w:semiHidden/>
    <w:unhideWhenUsed/>
    <w:rsid w:val="00E951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951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951B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951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951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77CE-CA34-4B19-9C40-A048092C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Ivar Myhre</dc:creator>
  <cp:keywords/>
  <dc:description/>
  <cp:lastModifiedBy>Øystein Seljeflot</cp:lastModifiedBy>
  <cp:revision>4</cp:revision>
  <dcterms:created xsi:type="dcterms:W3CDTF">2023-03-28T07:34:00Z</dcterms:created>
  <dcterms:modified xsi:type="dcterms:W3CDTF">2023-03-28T08:02:00Z</dcterms:modified>
</cp:coreProperties>
</file>